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F94EE">
      <w:pPr>
        <w:ind w:firstLine="3080" w:firstLineChars="700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慈惠体检须知</w:t>
      </w:r>
    </w:p>
    <w:p w14:paraId="28FF5CB7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体检前注意事项：</w:t>
      </w:r>
    </w:p>
    <w:p w14:paraId="3E4B099E">
      <w:pPr>
        <w:ind w:firstLine="680" w:firstLineChars="200"/>
        <w:rPr>
          <w:rFonts w:ascii="微软雅黑" w:hAnsi="微软雅黑" w:eastAsia="微软雅黑" w:cs="微软雅黑"/>
          <w:bCs/>
          <w:sz w:val="28"/>
          <w:szCs w:val="28"/>
        </w:rPr>
      </w:pPr>
      <w:r>
        <w:rPr>
          <w:rFonts w:ascii="微软雅黑" w:hAnsi="微软雅黑" w:eastAsia="微软雅黑" w:cs="微软雅黑"/>
          <w:bCs/>
          <w:spacing w:val="30"/>
          <w:sz w:val="28"/>
          <w:szCs w:val="28"/>
          <w:shd w:val="clear" w:color="auto" w:fill="FFFFFF"/>
        </w:rPr>
        <w:t>1.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微软雅黑" w:hAnsi="微软雅黑" w:eastAsia="微软雅黑" w:cs="微软雅黑"/>
          <w:bCs/>
          <w:sz w:val="28"/>
          <w:szCs w:val="28"/>
        </w:rPr>
        <w:t>请携带身份证。按照医疗管理部门相关规定，请勿带亲属和孩子(非体检人员)陪同入内,谢谢合作！</w:t>
      </w:r>
    </w:p>
    <w:p w14:paraId="5D256C05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体检须知：</w:t>
      </w:r>
    </w:p>
    <w:p w14:paraId="49CD517A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b/>
          <w:bCs/>
          <w:color w:val="4F81BD" w:themeColor="accent1"/>
          <w:sz w:val="28"/>
          <w:szCs w:val="28"/>
          <w:u w:val="single"/>
          <w14:textFill>
            <w14:solidFill>
              <w14:schemeClr w14:val="accent1"/>
            </w14:solidFill>
          </w14:textFill>
        </w:rPr>
      </w:pPr>
      <w:r>
        <w:rPr>
          <w:rFonts w:hint="eastAsia" w:ascii="宋体" w:hAnsi="宋体"/>
          <w:b/>
          <w:bCs/>
          <w:color w:val="4F81BD" w:themeColor="accent1"/>
          <w:sz w:val="28"/>
          <w:szCs w:val="28"/>
          <w14:textFill>
            <w14:solidFill>
              <w14:schemeClr w14:val="accent1"/>
            </w14:solidFill>
          </w14:textFill>
        </w:rPr>
        <w:t>本次体检时间安排</w:t>
      </w:r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14:textFill>
            <w14:solidFill>
              <w14:schemeClr w14:val="accent1"/>
            </w14:solidFill>
          </w14:textFill>
        </w:rPr>
        <w:t xml:space="preserve">  </w:t>
      </w:r>
      <w:r>
        <w:rPr>
          <w:rFonts w:ascii="宋体" w:hAnsi="宋体"/>
          <w:b/>
          <w:bCs/>
          <w:color w:val="4F81BD" w:themeColor="accent1"/>
          <w:sz w:val="28"/>
          <w:szCs w:val="28"/>
          <w:u w:val="single"/>
          <w14:textFill>
            <w14:solidFill>
              <w14:schemeClr w14:val="accent1"/>
            </w14:solidFill>
          </w14:textFill>
        </w:rPr>
        <w:t>202</w:t>
      </w:r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:lang w:val="en-US" w:eastAsia="zh-CN"/>
          <w14:textFill>
            <w14:solidFill>
              <w14:schemeClr w14:val="accent1"/>
            </w14:solidFill>
          </w14:textFill>
        </w:rPr>
        <w:t>5</w:t>
      </w:r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14:textFill>
            <w14:solidFill>
              <w14:schemeClr w14:val="accent1"/>
            </w14:solidFill>
          </w14:textFill>
        </w:rPr>
        <w:t xml:space="preserve">年 </w:t>
      </w:r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:lang w:val="en-US" w:eastAsia="zh-CN"/>
          <w14:textFill>
            <w14:solidFill>
              <w14:schemeClr w14:val="accent1"/>
            </w14:solidFill>
          </w14:textFill>
        </w:rPr>
        <w:t>7</w:t>
      </w:r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14:textFill>
            <w14:solidFill>
              <w14:schemeClr w14:val="accent1"/>
            </w14:solidFill>
          </w14:textFill>
        </w:rPr>
        <w:t>月</w:t>
      </w:r>
      <w:r>
        <w:rPr>
          <w:rFonts w:ascii="宋体" w:hAnsi="宋体"/>
          <w:b/>
          <w:bCs/>
          <w:color w:val="4F81BD" w:themeColor="accent1"/>
          <w:sz w:val="28"/>
          <w:szCs w:val="28"/>
          <w:u w:val="single"/>
          <w14:textFill>
            <w14:solidFill>
              <w14:schemeClr w14:val="accent1"/>
            </w14:solidFill>
          </w14:textFill>
        </w:rPr>
        <w:t>2</w:t>
      </w:r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:lang w:val="en-US" w:eastAsia="zh-CN"/>
          <w14:textFill>
            <w14:solidFill>
              <w14:schemeClr w14:val="accent1"/>
            </w14:solidFill>
          </w14:textFill>
        </w:rPr>
        <w:t>1</w:t>
      </w:r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14:textFill>
            <w14:solidFill>
              <w14:schemeClr w14:val="accent1"/>
            </w14:solidFill>
          </w14:textFill>
        </w:rPr>
        <w:t>日至9月</w:t>
      </w:r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:lang w:val="en-US" w:eastAsia="zh-CN"/>
          <w14:textFill>
            <w14:solidFill>
              <w14:schemeClr w14:val="accent1"/>
            </w14:solidFill>
          </w14:textFill>
        </w:rPr>
        <w:t>30</w:t>
      </w:r>
      <w:bookmarkStart w:id="0" w:name="_GoBack"/>
      <w:bookmarkEnd w:id="0"/>
      <w:r>
        <w:rPr>
          <w:rFonts w:hint="eastAsia" w:ascii="宋体" w:hAnsi="宋体"/>
          <w:b/>
          <w:bCs/>
          <w:color w:val="4F81BD" w:themeColor="accent1"/>
          <w:sz w:val="28"/>
          <w:szCs w:val="28"/>
          <w:u w:val="single"/>
          <w14:textFill>
            <w14:solidFill>
              <w14:schemeClr w14:val="accent1"/>
            </w14:solidFill>
          </w14:textFill>
        </w:rPr>
        <w:t xml:space="preserve">日                      </w:t>
      </w:r>
    </w:p>
    <w:p w14:paraId="13E95A80">
      <w:p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2.慈惠体检中心日常</w:t>
      </w:r>
      <w:r>
        <w:rPr>
          <w:rFonts w:hint="eastAsia" w:ascii="宋体" w:hAnsi="宋体" w:cs="宋体"/>
          <w:sz w:val="28"/>
          <w:szCs w:val="28"/>
        </w:rPr>
        <w:t>体检时间：</w:t>
      </w:r>
      <w:r>
        <w:rPr>
          <w:rFonts w:hint="eastAsia" w:ascii="宋体" w:hAnsi="宋体" w:cs="宋体"/>
          <w:b/>
          <w:color w:val="FF0000"/>
          <w:sz w:val="28"/>
          <w:szCs w:val="28"/>
        </w:rPr>
        <w:t>周一至周六早上</w:t>
      </w:r>
      <w:r>
        <w:rPr>
          <w:rFonts w:hint="eastAsia" w:ascii="宋体" w:hAnsi="宋体"/>
          <w:b/>
          <w:color w:val="FF0000"/>
          <w:sz w:val="28"/>
          <w:szCs w:val="28"/>
        </w:rPr>
        <w:t>9</w:t>
      </w:r>
      <w:r>
        <w:rPr>
          <w:rFonts w:hint="eastAsia" w:ascii="宋体" w:hAnsi="宋体" w:cs="宋体"/>
          <w:b/>
          <w:color w:val="FF0000"/>
          <w:sz w:val="28"/>
          <w:szCs w:val="28"/>
        </w:rPr>
        <w:t>：10分</w:t>
      </w:r>
      <w:r>
        <w:rPr>
          <w:rFonts w:hint="eastAsia" w:ascii="宋体" w:hAnsi="宋体"/>
          <w:b/>
          <w:color w:val="FF0000"/>
          <w:sz w:val="28"/>
          <w:szCs w:val="28"/>
        </w:rPr>
        <w:t>—1</w:t>
      </w:r>
      <w:r>
        <w:rPr>
          <w:rFonts w:ascii="宋体" w:hAnsi="宋体"/>
          <w:b/>
          <w:color w:val="FF0000"/>
          <w:sz w:val="28"/>
          <w:szCs w:val="28"/>
        </w:rPr>
        <w:t>2</w:t>
      </w:r>
      <w:r>
        <w:rPr>
          <w:rFonts w:hint="eastAsia" w:ascii="宋体" w:hAnsi="宋体"/>
          <w:b/>
          <w:color w:val="FF0000"/>
          <w:sz w:val="28"/>
          <w:szCs w:val="28"/>
        </w:rPr>
        <w:t>：00；</w:t>
      </w:r>
      <w:r>
        <w:rPr>
          <w:rFonts w:hint="eastAsia" w:ascii="宋体" w:hAnsi="宋体" w:cs="宋体"/>
          <w:sz w:val="28"/>
          <w:szCs w:val="28"/>
        </w:rPr>
        <w:t>如有抽血项目请您务必于早晨</w:t>
      </w:r>
      <w:r>
        <w:rPr>
          <w:rFonts w:ascii="宋体" w:hAnsi="宋体"/>
          <w:sz w:val="28"/>
          <w:szCs w:val="28"/>
        </w:rPr>
        <w:t>12:00</w:t>
      </w:r>
      <w:r>
        <w:rPr>
          <w:rFonts w:hint="eastAsia" w:ascii="宋体" w:hAnsi="宋体" w:cs="宋体"/>
          <w:sz w:val="28"/>
          <w:szCs w:val="28"/>
        </w:rPr>
        <w:t>前进行，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hint="eastAsia" w:ascii="宋体" w:hAnsi="宋体" w:cs="宋体"/>
          <w:sz w:val="28"/>
          <w:szCs w:val="28"/>
        </w:rPr>
        <w:t>之后不再进行采血。</w:t>
      </w:r>
    </w:p>
    <w:p w14:paraId="775926E9">
      <w:p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</w:t>
      </w:r>
      <w:r>
        <w:rPr>
          <w:rFonts w:ascii="宋体" w:hAnsi="宋体" w:cs="宋体"/>
          <w:sz w:val="28"/>
          <w:szCs w:val="28"/>
        </w:rPr>
        <w:t>.</w:t>
      </w:r>
      <w:r>
        <w:rPr>
          <w:rFonts w:hint="eastAsia" w:ascii="宋体" w:hAnsi="宋体" w:cs="宋体"/>
          <w:sz w:val="28"/>
          <w:szCs w:val="28"/>
        </w:rPr>
        <w:t>体检前</w:t>
      </w: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日请勿食油腻食物、勿饮酒及剧烈运动。</w:t>
      </w:r>
    </w:p>
    <w:p w14:paraId="69754DF9">
      <w:pPr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</w:t>
      </w:r>
      <w:r>
        <w:rPr>
          <w:rFonts w:ascii="宋体" w:hAnsi="宋体"/>
          <w:sz w:val="28"/>
          <w:szCs w:val="28"/>
        </w:rPr>
        <w:t xml:space="preserve">. </w:t>
      </w:r>
      <w:r>
        <w:rPr>
          <w:rFonts w:hint="eastAsia" w:ascii="宋体" w:hAnsi="宋体" w:cs="宋体"/>
          <w:sz w:val="28"/>
          <w:szCs w:val="28"/>
        </w:rPr>
        <w:t>有抽血、</w:t>
      </w:r>
      <w:r>
        <w:rPr>
          <w:rFonts w:ascii="宋体" w:hAnsi="宋体"/>
          <w:sz w:val="28"/>
          <w:szCs w:val="28"/>
        </w:rPr>
        <w:t>B</w:t>
      </w:r>
      <w:r>
        <w:rPr>
          <w:rFonts w:hint="eastAsia" w:ascii="宋体" w:hAnsi="宋体" w:cs="宋体"/>
          <w:sz w:val="28"/>
          <w:szCs w:val="28"/>
        </w:rPr>
        <w:t>超检查项目者，受检前</w:t>
      </w:r>
      <w:r>
        <w:rPr>
          <w:rFonts w:ascii="宋体" w:hAnsi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小时内请勿进食水（即空腹）。</w:t>
      </w:r>
    </w:p>
    <w:p w14:paraId="0276DD27">
      <w:pPr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</w:t>
      </w:r>
      <w:r>
        <w:rPr>
          <w:rFonts w:ascii="宋体" w:hAnsi="宋体"/>
          <w:sz w:val="28"/>
          <w:szCs w:val="28"/>
        </w:rPr>
        <w:t xml:space="preserve">. </w:t>
      </w:r>
      <w:r>
        <w:rPr>
          <w:rFonts w:hint="eastAsia" w:ascii="宋体" w:hAnsi="宋体" w:cs="宋体"/>
          <w:sz w:val="28"/>
          <w:szCs w:val="28"/>
        </w:rPr>
        <w:t>高血压、糖尿病、心脏病等慢性病患者，请将平时服用的药物携带备用或体检前喝少量水服药。</w:t>
      </w:r>
    </w:p>
    <w:p w14:paraId="28812844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如有妇科检查请须知：</w:t>
      </w:r>
    </w:p>
    <w:p w14:paraId="77D7D242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1、未婚、怀孕或可能已受孕的女性请事先告知医生，勿做宫颈液基细胞学、阴超、阴道镜、HPV、免疫组织化学染色诊断等检查</w:t>
      </w:r>
    </w:p>
    <w:p w14:paraId="6ED3650B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2、未婚查子宫附件B超者需憋尿经行腹部检查。</w:t>
      </w:r>
    </w:p>
    <w:p w14:paraId="7B097EBC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3、已婚女性妇科阴道B超检查者应排空膀胱，无须憋尿（未婚者、孕妇禁查）。</w:t>
      </w:r>
    </w:p>
    <w:p w14:paraId="3621A7A2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4、受检前阴道、宫颈不得使用任何润滑剂。</w:t>
      </w:r>
    </w:p>
    <w:p w14:paraId="7D2DDAEF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5、受检查前24小时内禁止性生活；</w:t>
      </w:r>
    </w:p>
    <w:p w14:paraId="6389B9D3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6、受检前7天内不得做阴道冲洗及任何阴道治疗。</w:t>
      </w:r>
    </w:p>
    <w:p w14:paraId="2CDF62FC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7、妊娠期妇女不宜使用宫颈刷。</w:t>
      </w:r>
    </w:p>
    <w:p w14:paraId="0E0D23B2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8、月经前2日请勿做乳腺B超检查，月经干净后3-7天再行检查。</w:t>
      </w:r>
    </w:p>
    <w:p w14:paraId="00A4EDE7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9、人流后月经未来潮前，不做检查。</w:t>
      </w:r>
    </w:p>
    <w:p w14:paraId="2EFE6365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10、宫颈放化疗后，至少半年以后再复查。</w:t>
      </w:r>
    </w:p>
    <w:p w14:paraId="32687026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11、急性宫颈炎及各种阴道炎的急性感染期，治疗后再做检查。</w:t>
      </w:r>
    </w:p>
    <w:p w14:paraId="5A94065B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12、产妇约42天后可以做妇科检查。  </w:t>
      </w:r>
    </w:p>
    <w:p w14:paraId="1CB8A462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13、既往有问题者，请携带相关检查报告以便于此次检查对比。</w:t>
      </w:r>
    </w:p>
    <w:p w14:paraId="6E4EEB86">
      <w:pPr>
        <w:rPr>
          <w:rFonts w:ascii="宋体" w:hAnsi="宋体"/>
          <w:b/>
          <w:color w:val="FD4C2F"/>
          <w:sz w:val="32"/>
          <w:szCs w:val="18"/>
          <w:u w:val="double"/>
        </w:rPr>
      </w:pPr>
    </w:p>
    <w:p w14:paraId="737130D2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如有</w:t>
      </w:r>
      <w:r>
        <w:rPr>
          <w:rFonts w:ascii="宋体" w:hAnsi="宋体"/>
          <w:b/>
          <w:color w:val="FD4C2F"/>
          <w:sz w:val="32"/>
          <w:szCs w:val="18"/>
          <w:u w:val="double"/>
        </w:rPr>
        <w:t>X</w:t>
      </w: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线检查请须知：</w:t>
      </w:r>
    </w:p>
    <w:p w14:paraId="22480E45">
      <w:pPr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28"/>
          <w:szCs w:val="28"/>
        </w:rPr>
        <w:t>请勿穿胶印图形及有金属装饰的衣服（女性更换体检服时请勿穿戴文胸），勿戴项链、耳环、手表、银行卡等金属、磁性物品</w:t>
      </w:r>
      <w:r>
        <w:rPr>
          <w:rFonts w:hint="eastAsia" w:ascii="宋体" w:hAnsi="宋体" w:cs="宋体"/>
          <w:b/>
          <w:sz w:val="30"/>
          <w:szCs w:val="30"/>
        </w:rPr>
        <w:t>。</w:t>
      </w:r>
    </w:p>
    <w:p w14:paraId="2AE3A13E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如有碳</w:t>
      </w:r>
      <w:r>
        <w:rPr>
          <w:rFonts w:ascii="宋体" w:hAnsi="宋体"/>
          <w:b/>
          <w:color w:val="FD4C2F"/>
          <w:sz w:val="32"/>
          <w:szCs w:val="18"/>
          <w:u w:val="double"/>
        </w:rPr>
        <w:t>14</w:t>
      </w: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检查请须知：</w:t>
      </w:r>
    </w:p>
    <w:p w14:paraId="1791DE61">
      <w:p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备孕、孕妇、哺乳期女性请勿做此项检查。</w:t>
      </w:r>
    </w:p>
    <w:p w14:paraId="7E15BA7E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如有</w:t>
      </w:r>
      <w:r>
        <w:rPr>
          <w:rFonts w:ascii="宋体" w:hAnsi="宋体"/>
          <w:b/>
          <w:color w:val="FD4C2F"/>
          <w:sz w:val="32"/>
          <w:szCs w:val="18"/>
          <w:u w:val="double"/>
        </w:rPr>
        <w:t>HRA</w:t>
      </w: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项目检测者有下列情况请勿检查：</w:t>
      </w:r>
    </w:p>
    <w:p w14:paraId="46C5DBCC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心脏支架、起搏器携带者</w:t>
      </w:r>
    </w:p>
    <w:p w14:paraId="1656FCF0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体内有金属异物</w:t>
      </w:r>
      <w:r>
        <w:rPr>
          <w:rFonts w:ascii="宋体" w:hAnsi="宋体" w:cs="宋体"/>
          <w:sz w:val="28"/>
          <w:szCs w:val="28"/>
        </w:rPr>
        <w:t>(</w:t>
      </w:r>
      <w:r>
        <w:rPr>
          <w:rFonts w:hint="eastAsia" w:ascii="宋体" w:hAnsi="宋体" w:cs="宋体"/>
          <w:sz w:val="28"/>
          <w:szCs w:val="28"/>
        </w:rPr>
        <w:t>包含心脏、肺动脉支架等</w:t>
      </w:r>
      <w:r>
        <w:rPr>
          <w:rFonts w:ascii="宋体" w:hAnsi="宋体" w:cs="宋体"/>
          <w:sz w:val="28"/>
          <w:szCs w:val="28"/>
        </w:rPr>
        <w:t>)</w:t>
      </w:r>
      <w:r>
        <w:rPr>
          <w:rFonts w:hint="eastAsia" w:ascii="宋体" w:hAnsi="宋体" w:cs="宋体"/>
          <w:sz w:val="28"/>
          <w:szCs w:val="28"/>
        </w:rPr>
        <w:t>。</w:t>
      </w:r>
    </w:p>
    <w:p w14:paraId="3242D19C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严重心脏功能不全者。</w:t>
      </w:r>
    </w:p>
    <w:p w14:paraId="3542FDA1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手掌、脚掌和额部皮肤破损。</w:t>
      </w:r>
    </w:p>
    <w:p w14:paraId="5D08FBEB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肢体缺失者。</w:t>
      </w:r>
    </w:p>
    <w:p w14:paraId="7AD3CBBA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服用了类固醇药物和长期服用镇痛药物者。</w:t>
      </w:r>
    </w:p>
    <w:p w14:paraId="734AC4DF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孕妇。</w:t>
      </w:r>
    </w:p>
    <w:p w14:paraId="3AF257E2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ascii="宋体" w:hAnsi="宋体"/>
          <w:b/>
          <w:color w:val="FD4C2F"/>
          <w:sz w:val="32"/>
          <w:szCs w:val="18"/>
          <w:u w:val="double"/>
        </w:rPr>
        <w:t>HRA</w:t>
      </w: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项目影响检测结果的因素如下：</w:t>
      </w:r>
    </w:p>
    <w:p w14:paraId="258DFF3F">
      <w:pPr>
        <w:numPr>
          <w:ilvl w:val="0"/>
          <w:numId w:val="3"/>
        </w:numPr>
        <w:tabs>
          <w:tab w:val="clear" w:pos="312"/>
        </w:tabs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年龄（不在</w:t>
      </w:r>
      <w:r>
        <w:rPr>
          <w:rFonts w:ascii="宋体" w:hAnsi="宋体" w:cs="宋体"/>
          <w:sz w:val="28"/>
          <w:szCs w:val="28"/>
        </w:rPr>
        <w:t>16-80</w:t>
      </w:r>
      <w:r>
        <w:rPr>
          <w:rFonts w:hint="eastAsia" w:ascii="宋体" w:hAnsi="宋体" w:cs="宋体"/>
          <w:sz w:val="28"/>
          <w:szCs w:val="28"/>
        </w:rPr>
        <w:t>岁之间的）。</w:t>
      </w:r>
    </w:p>
    <w:p w14:paraId="7796C215">
      <w:pPr>
        <w:numPr>
          <w:ilvl w:val="0"/>
          <w:numId w:val="3"/>
        </w:numPr>
        <w:tabs>
          <w:tab w:val="clear" w:pos="312"/>
        </w:tabs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饮酒、高温桑拿、剧烈运动（检测前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小时内）。</w:t>
      </w:r>
    </w:p>
    <w:p w14:paraId="0F421F59">
      <w:pPr>
        <w:numPr>
          <w:ilvl w:val="0"/>
          <w:numId w:val="3"/>
        </w:numPr>
        <w:tabs>
          <w:tab w:val="clear" w:pos="312"/>
        </w:tabs>
        <w:rPr>
          <w:rFonts w:ascii="宋体" w:cs="宋体"/>
          <w:sz w:val="30"/>
          <w:szCs w:val="30"/>
        </w:rPr>
      </w:pPr>
      <w:r>
        <w:rPr>
          <w:rFonts w:hint="eastAsia" w:ascii="宋体" w:hAnsi="宋体" w:cs="宋体"/>
          <w:sz w:val="28"/>
          <w:szCs w:val="28"/>
        </w:rPr>
        <w:t>受检者检测时有腹泻、呕吐、发热症状。</w:t>
      </w:r>
    </w:p>
    <w:p w14:paraId="034A10FC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如有自主神经系统检测、末梢血液循环检测请须知：</w:t>
      </w:r>
    </w:p>
    <w:p w14:paraId="607209AF">
      <w:pPr>
        <w:numPr>
          <w:ilvl w:val="0"/>
          <w:numId w:val="4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请勿涂指甲油或美甲。</w:t>
      </w:r>
    </w:p>
    <w:p w14:paraId="49624D43">
      <w:pPr>
        <w:rPr>
          <w:rFonts w:ascii="宋体" w:hAnsi="宋体"/>
          <w:b/>
          <w:color w:val="FD4C2F"/>
          <w:sz w:val="32"/>
          <w:szCs w:val="18"/>
          <w:u w:val="double"/>
        </w:rPr>
      </w:pPr>
    </w:p>
    <w:p w14:paraId="5EED2F68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如有人体成分、动脉硬化检测者有下列情况请勿检查：</w:t>
      </w:r>
    </w:p>
    <w:p w14:paraId="7F034631">
      <w:pPr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1.</w:t>
      </w:r>
      <w:r>
        <w:rPr>
          <w:rFonts w:hint="eastAsia" w:ascii="宋体" w:hAnsi="宋体" w:cs="宋体"/>
          <w:sz w:val="28"/>
          <w:szCs w:val="28"/>
        </w:rPr>
        <w:t>心脏支架、起搏器携带者。</w:t>
      </w:r>
    </w:p>
    <w:p w14:paraId="5401EF0B">
      <w:pPr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</w:t>
      </w:r>
      <w:r>
        <w:rPr>
          <w:rFonts w:hint="eastAsia" w:ascii="宋体" w:hAnsi="宋体" w:cs="宋体"/>
          <w:sz w:val="28"/>
          <w:szCs w:val="28"/>
        </w:rPr>
        <w:t>体内有金属异物</w:t>
      </w:r>
      <w:r>
        <w:rPr>
          <w:rFonts w:ascii="宋体" w:hAnsi="宋体" w:cs="宋体"/>
          <w:sz w:val="28"/>
          <w:szCs w:val="28"/>
        </w:rPr>
        <w:t>(</w:t>
      </w:r>
      <w:r>
        <w:rPr>
          <w:rFonts w:hint="eastAsia" w:ascii="宋体" w:hAnsi="宋体" w:cs="宋体"/>
          <w:sz w:val="28"/>
          <w:szCs w:val="28"/>
        </w:rPr>
        <w:t>包含心脏、肺动脉支架等</w:t>
      </w:r>
      <w:r>
        <w:rPr>
          <w:rFonts w:ascii="宋体" w:hAnsi="宋体" w:cs="宋体"/>
          <w:sz w:val="28"/>
          <w:szCs w:val="28"/>
        </w:rPr>
        <w:t>)</w:t>
      </w:r>
      <w:r>
        <w:rPr>
          <w:rFonts w:hint="eastAsia" w:ascii="宋体" w:hAnsi="宋体" w:cs="宋体"/>
          <w:sz w:val="28"/>
          <w:szCs w:val="28"/>
        </w:rPr>
        <w:t>。</w:t>
      </w:r>
    </w:p>
    <w:p w14:paraId="09538D96">
      <w:pPr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3.</w:t>
      </w:r>
      <w:r>
        <w:rPr>
          <w:rFonts w:hint="eastAsia" w:ascii="宋体" w:hAnsi="宋体" w:cs="宋体"/>
          <w:sz w:val="28"/>
          <w:szCs w:val="28"/>
        </w:rPr>
        <w:t>肢体缺失者。</w:t>
      </w:r>
    </w:p>
    <w:p w14:paraId="2E3850AE">
      <w:pPr>
        <w:rPr>
          <w:rFonts w:asci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如有肺功能检测者有下列情况请勿检查：</w:t>
      </w:r>
    </w:p>
    <w:p w14:paraId="438FABFA">
      <w:pPr>
        <w:numPr>
          <w:ilvl w:val="0"/>
          <w:numId w:val="5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近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个月内患心肌梗死或肺栓塞者。</w:t>
      </w:r>
    </w:p>
    <w:p w14:paraId="31C28B45">
      <w:pPr>
        <w:numPr>
          <w:ilvl w:val="0"/>
          <w:numId w:val="5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心功能不稳定、心绞痛、大咯血、剧咳、肺大泡及未控制的高血压者。</w:t>
      </w:r>
    </w:p>
    <w:p w14:paraId="3F0D53AB">
      <w:pPr>
        <w:numPr>
          <w:ilvl w:val="0"/>
          <w:numId w:val="5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胸部、上腹部或头颅的血管瘤者。</w:t>
      </w:r>
    </w:p>
    <w:p w14:paraId="67C81BBC">
      <w:pPr>
        <w:numPr>
          <w:ilvl w:val="0"/>
          <w:numId w:val="5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近期眼部手术，如白内障。</w:t>
      </w:r>
    </w:p>
    <w:p w14:paraId="25F458EE">
      <w:pPr>
        <w:numPr>
          <w:ilvl w:val="0"/>
          <w:numId w:val="5"/>
        </w:num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老年痴呆、意识障碍、不能合作者。</w:t>
      </w:r>
    </w:p>
    <w:p w14:paraId="141A0417">
      <w:pPr>
        <w:rPr>
          <w:rFonts w:ascii="宋体" w:hAnsi="宋体"/>
          <w:b/>
          <w:color w:val="FD4C2F"/>
          <w:sz w:val="32"/>
          <w:szCs w:val="1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如有职业健康检查请须知：</w:t>
      </w:r>
    </w:p>
    <w:p w14:paraId="46B8E0DF">
      <w:pPr>
        <w:rPr>
          <w:rFonts w:ascii="宋体" w:cs="宋体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1. 有抽血、B超检查项目者，受检前8小时内请勿进食水（即空腹）。</w:t>
      </w:r>
    </w:p>
    <w:p w14:paraId="4F1CF8BB">
      <w:pPr>
        <w:rPr>
          <w:rFonts w:ascii="宋体" w:cs="宋体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2. 听力测试应在受试者脱离噪声环境48h后进行。</w:t>
      </w:r>
    </w:p>
    <w:p w14:paraId="363D5556">
      <w:pPr>
        <w:rPr>
          <w:rFonts w:ascii="宋体" w:cs="宋体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3.高血压、糖尿病、心脏病等慢性病患者，体检前可喝少量水服药，或将平时服用的药物携带备用。</w:t>
      </w:r>
    </w:p>
    <w:p w14:paraId="3588DCBC">
      <w:pPr>
        <w:rPr>
          <w:rFonts w:ascii="宋体" w:cs="宋体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4.职业健康检查体检项目不能任意弃检。</w:t>
      </w:r>
    </w:p>
    <w:p w14:paraId="2609BF2C">
      <w:pPr>
        <w:rPr>
          <w:rFonts w:ascii="宋体"/>
          <w:b/>
          <w:color w:val="FD4C2F"/>
          <w:sz w:val="28"/>
          <w:szCs w:val="28"/>
          <w:u w:val="double"/>
        </w:rPr>
      </w:pPr>
      <w:r>
        <w:rPr>
          <w:rFonts w:hint="eastAsia" w:ascii="宋体" w:hAnsi="宋体"/>
          <w:b/>
          <w:color w:val="FD4C2F"/>
          <w:sz w:val="32"/>
          <w:szCs w:val="18"/>
          <w:u w:val="double"/>
        </w:rPr>
        <w:t>体检流程：</w:t>
      </w:r>
    </w:p>
    <w:p w14:paraId="1BCA2930">
      <w:pPr>
        <w:numPr>
          <w:ilvl w:val="0"/>
          <w:numId w:val="6"/>
        </w:numPr>
        <w:spacing w:line="240" w:lineRule="atLeast"/>
        <w:ind w:left="357" w:hanging="357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在前台办理体检手续，领取体检指引单（</w:t>
      </w:r>
      <w:r>
        <w:rPr>
          <w:rFonts w:ascii="宋体" w:hAnsi="宋体"/>
          <w:sz w:val="28"/>
          <w:szCs w:val="28"/>
        </w:rPr>
        <w:t>12</w:t>
      </w:r>
      <w:r>
        <w:rPr>
          <w:rFonts w:hint="eastAsia" w:ascii="宋体" w:hAnsi="宋体"/>
          <w:sz w:val="28"/>
          <w:szCs w:val="28"/>
        </w:rPr>
        <w:t>点以后不予办理）。</w:t>
      </w:r>
    </w:p>
    <w:p w14:paraId="51138721">
      <w:pPr>
        <w:numPr>
          <w:ilvl w:val="0"/>
          <w:numId w:val="6"/>
        </w:numPr>
        <w:spacing w:line="240" w:lineRule="atLeast"/>
        <w:ind w:left="357" w:hanging="357"/>
        <w:rPr>
          <w:rFonts w:asci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更换体检服和拖鞋，交叉分流进行各个科室项目检查。</w:t>
      </w:r>
    </w:p>
    <w:p w14:paraId="5939235A">
      <w:pPr>
        <w:numPr>
          <w:ilvl w:val="0"/>
          <w:numId w:val="6"/>
        </w:numPr>
        <w:spacing w:line="240" w:lineRule="atLeast"/>
        <w:ind w:left="357" w:hanging="357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在餐前项目检查完成后，请在营养餐吧用早餐。自愿填写意见本。</w:t>
      </w:r>
    </w:p>
    <w:p w14:paraId="3BC5A90A">
      <w:pPr>
        <w:numPr>
          <w:ilvl w:val="0"/>
          <w:numId w:val="6"/>
        </w:numPr>
        <w:spacing w:line="240" w:lineRule="atLeast"/>
        <w:ind w:left="357" w:hanging="357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完成所有项目，将体检指引单交回医务人员，再次确认体检项目完成情况，避免漏检。</w:t>
      </w:r>
    </w:p>
    <w:p w14:paraId="0D9337E5">
      <w:pPr>
        <w:numPr>
          <w:ilvl w:val="0"/>
          <w:numId w:val="6"/>
        </w:numPr>
        <w:spacing w:line="240" w:lineRule="atLeast"/>
        <w:ind w:left="357" w:hanging="357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体检结束后请扫慈惠体检中心二维码，关注慈惠公众号，以便14个工作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日后登录查询电子报告</w:t>
      </w:r>
      <w:r>
        <w:rPr>
          <w:rFonts w:hint="eastAsia" w:ascii="宋体" w:hAnsi="宋体"/>
          <w:sz w:val="28"/>
          <w:szCs w:val="28"/>
        </w:rPr>
        <w:t>。</w:t>
      </w:r>
    </w:p>
    <w:p w14:paraId="3A910058">
      <w:pPr>
        <w:numPr>
          <w:ilvl w:val="0"/>
          <w:numId w:val="6"/>
        </w:numPr>
        <w:spacing w:line="240" w:lineRule="atLeast"/>
        <w:ind w:left="357" w:hanging="357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体检各科结果汇总，总检专家进行总检，如有重要异常结果中心将会及时通知，指导就诊，并对诊治情况进行回访。</w:t>
      </w:r>
    </w:p>
    <w:p w14:paraId="73F1055C">
      <w:pPr>
        <w:tabs>
          <w:tab w:val="left" w:pos="360"/>
        </w:tabs>
        <w:spacing w:line="240" w:lineRule="atLeast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慈惠体检中心地址：丰源路</w:t>
      </w:r>
      <w:r>
        <w:rPr>
          <w:rFonts w:ascii="宋体" w:hAnsi="宋体"/>
          <w:b/>
          <w:bCs/>
          <w:sz w:val="32"/>
          <w:szCs w:val="32"/>
        </w:rPr>
        <w:t>35</w:t>
      </w:r>
      <w:r>
        <w:rPr>
          <w:rFonts w:hint="eastAsia" w:ascii="宋体" w:hAnsi="宋体"/>
          <w:b/>
          <w:bCs/>
          <w:sz w:val="32"/>
          <w:szCs w:val="32"/>
        </w:rPr>
        <w:t>号百瑞广场</w:t>
      </w:r>
      <w:r>
        <w:rPr>
          <w:rFonts w:ascii="宋体" w:hAnsi="宋体"/>
          <w:b/>
          <w:bCs/>
          <w:sz w:val="32"/>
          <w:szCs w:val="32"/>
        </w:rPr>
        <w:t>A</w:t>
      </w:r>
      <w:r>
        <w:rPr>
          <w:rFonts w:hint="eastAsia" w:ascii="宋体" w:hAnsi="宋体"/>
          <w:b/>
          <w:bCs/>
          <w:sz w:val="32"/>
          <w:szCs w:val="32"/>
        </w:rPr>
        <w:t>座一楼（油田公司总部南面）</w:t>
      </w:r>
    </w:p>
    <w:p w14:paraId="54AA18FC">
      <w:pPr>
        <w:tabs>
          <w:tab w:val="left" w:pos="360"/>
        </w:tabs>
        <w:spacing w:line="240" w:lineRule="atLeast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体检前咨询或领取体检报告电话：</w:t>
      </w:r>
      <w:r>
        <w:rPr>
          <w:rFonts w:ascii="宋体" w:hAnsi="宋体"/>
          <w:b/>
          <w:bCs/>
          <w:sz w:val="32"/>
          <w:szCs w:val="32"/>
        </w:rPr>
        <w:t xml:space="preserve">0990-6666008 </w:t>
      </w:r>
      <w:r>
        <w:rPr>
          <w:rFonts w:hint="eastAsia" w:ascii="宋体" w:hAnsi="宋体"/>
          <w:b/>
          <w:bCs/>
          <w:sz w:val="32"/>
          <w:szCs w:val="32"/>
        </w:rPr>
        <w:t>；</w:t>
      </w:r>
    </w:p>
    <w:p w14:paraId="79128016">
      <w:pPr>
        <w:tabs>
          <w:tab w:val="left" w:pos="360"/>
        </w:tabs>
        <w:spacing w:line="240" w:lineRule="atLeast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报告领取时间：周一至周五下午（</w:t>
      </w:r>
      <w:r>
        <w:rPr>
          <w:rFonts w:ascii="宋体" w:hAnsi="宋体"/>
          <w:b/>
          <w:bCs/>
          <w:sz w:val="32"/>
          <w:szCs w:val="32"/>
        </w:rPr>
        <w:t>15</w:t>
      </w:r>
      <w:r>
        <w:rPr>
          <w:rFonts w:hint="eastAsia" w:ascii="宋体" w:hAnsi="宋体"/>
          <w:b/>
          <w:bCs/>
          <w:sz w:val="32"/>
          <w:szCs w:val="32"/>
        </w:rPr>
        <w:t>点</w:t>
      </w:r>
      <w:r>
        <w:rPr>
          <w:rFonts w:ascii="宋体" w:hAnsi="宋体"/>
          <w:b/>
          <w:bCs/>
          <w:sz w:val="32"/>
          <w:szCs w:val="32"/>
        </w:rPr>
        <w:t>30—1</w:t>
      </w:r>
      <w:r>
        <w:rPr>
          <w:rFonts w:hint="eastAsia" w:ascii="宋体" w:hAnsi="宋体"/>
          <w:b/>
          <w:bCs/>
          <w:sz w:val="32"/>
          <w:szCs w:val="32"/>
        </w:rPr>
        <w:t>7点30）领取报告。</w:t>
      </w:r>
      <w:r>
        <w:rPr>
          <w:rFonts w:ascii="宋体" w:hAnsi="宋体"/>
          <w:b/>
          <w:bCs/>
          <w:sz w:val="32"/>
          <w:szCs w:val="32"/>
        </w:rPr>
        <w:t xml:space="preserve"> </w:t>
      </w:r>
    </w:p>
    <w:p w14:paraId="0EC9C8CB">
      <w:pPr>
        <w:tabs>
          <w:tab w:val="left" w:pos="360"/>
        </w:tabs>
        <w:spacing w:line="240" w:lineRule="atLeast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体检后咨询电话：</w:t>
      </w:r>
      <w:r>
        <w:rPr>
          <w:rFonts w:ascii="宋体" w:hAnsi="宋体"/>
          <w:b/>
          <w:bCs/>
          <w:sz w:val="32"/>
          <w:szCs w:val="32"/>
        </w:rPr>
        <w:t>0990-6666003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62E4B3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6393CC"/>
    <w:multiLevelType w:val="singleLevel"/>
    <w:tmpl w:val="806393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62371D0"/>
    <w:multiLevelType w:val="singleLevel"/>
    <w:tmpl w:val="962371D0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C4455F19"/>
    <w:multiLevelType w:val="singleLevel"/>
    <w:tmpl w:val="C4455F19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F49C6363"/>
    <w:multiLevelType w:val="singleLevel"/>
    <w:tmpl w:val="F49C6363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4">
    <w:nsid w:val="776F1EEC"/>
    <w:multiLevelType w:val="singleLevel"/>
    <w:tmpl w:val="776F1EEC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5">
    <w:nsid w:val="7A9B4FEB"/>
    <w:multiLevelType w:val="multilevel"/>
    <w:tmpl w:val="7A9B4FEB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